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75F32">
      <w:pPr>
        <w:jc w:val="center"/>
        <w:rPr>
          <w:rFonts w:hint="eastAsia" w:ascii="Times New Roman" w:hAnsi="Times New Roman" w:eastAsia="微软雅黑"/>
          <w:sz w:val="48"/>
          <w:szCs w:val="48"/>
          <w:lang w:val="en-US" w:eastAsia="zh-CN"/>
        </w:rPr>
      </w:pPr>
      <w:r>
        <w:rPr>
          <w:rFonts w:hint="eastAsia" w:ascii="Times New Roman" w:hAnsi="Times New Roman" w:eastAsia="微软雅黑"/>
          <w:sz w:val="48"/>
          <w:szCs w:val="48"/>
          <w:lang w:val="en-US" w:eastAsia="zh-CN"/>
        </w:rPr>
        <w:t>课题文本</w:t>
      </w:r>
    </w:p>
    <w:p w14:paraId="4514BF91">
      <w:pPr>
        <w:jc w:val="center"/>
        <w:rPr>
          <w:rFonts w:ascii="华文楷体" w:hAnsi="华文楷体" w:eastAsia="华文楷体" w:cs="华文楷体"/>
          <w:sz w:val="44"/>
          <w:szCs w:val="44"/>
        </w:rPr>
      </w:pPr>
    </w:p>
    <w:p w14:paraId="3D93C7D0">
      <w:pPr>
        <w:jc w:val="center"/>
        <w:rPr>
          <w:rFonts w:ascii="华文楷体" w:hAnsi="华文楷体" w:eastAsia="华文楷体" w:cs="华文楷体"/>
          <w:sz w:val="44"/>
          <w:szCs w:val="44"/>
        </w:rPr>
      </w:pPr>
    </w:p>
    <w:p w14:paraId="0E754606">
      <w:pPr>
        <w:tabs>
          <w:tab w:val="left" w:pos="2452"/>
          <w:tab w:val="center" w:pos="4213"/>
        </w:tabs>
        <w:jc w:val="left"/>
        <w:rPr>
          <w:rFonts w:ascii="华文楷体" w:hAnsi="华文楷体" w:eastAsia="华文楷体" w:cs="华文楷体"/>
          <w:sz w:val="44"/>
          <w:szCs w:val="44"/>
        </w:rPr>
      </w:pPr>
    </w:p>
    <w:p w14:paraId="640F2FD1">
      <w:pPr>
        <w:spacing w:before="156" w:beforeLines="50"/>
        <w:ind w:firstLine="420"/>
        <w:jc w:val="left"/>
        <w:rPr>
          <w:rFonts w:ascii="黑体" w:hAnsi="黑体" w:eastAsia="黑体" w:cs="黑体"/>
          <w:sz w:val="24"/>
          <w:szCs w:val="24"/>
          <w:u w:val="single"/>
        </w:rPr>
      </w:pPr>
      <w:r>
        <w:rPr>
          <w:rFonts w:hint="eastAsia" w:ascii="Times New Roman" w:hAnsi="Times New Roman" w:eastAsia="微软雅黑"/>
          <w:sz w:val="32"/>
          <w:szCs w:val="32"/>
        </w:rPr>
        <w:t>研究课题：</w:t>
      </w:r>
      <w:r>
        <w:rPr>
          <w:rFonts w:hint="eastAsia" w:ascii="黑体" w:hAnsi="黑体" w:eastAsia="黑体" w:cs="黑体"/>
          <w:sz w:val="24"/>
          <w:u w:val="single"/>
        </w:rPr>
        <w:t xml:space="preserve"> </w:t>
      </w:r>
      <w:bookmarkStart w:id="0" w:name="_GoBack"/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“一城烟火，两载春秋”—苏轼在徐州的时间及空间记忆     </w:t>
      </w:r>
      <w:bookmarkEnd w:id="0"/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      </w:t>
      </w:r>
      <w:r>
        <w:rPr>
          <w:rFonts w:ascii="黑体" w:hAnsi="黑体" w:eastAsia="黑体" w:cs="黑体"/>
          <w:sz w:val="24"/>
          <w:szCs w:val="24"/>
          <w:u w:val="single"/>
        </w:rPr>
        <w:t xml:space="preserve"> </w:t>
      </w:r>
    </w:p>
    <w:p w14:paraId="0806086B">
      <w:pPr>
        <w:spacing w:before="156" w:beforeLines="50"/>
        <w:ind w:firstLine="420"/>
        <w:jc w:val="left"/>
        <w:rPr>
          <w:rFonts w:ascii="宋体" w:hAnsi="宋体"/>
          <w:sz w:val="32"/>
          <w:szCs w:val="32"/>
          <w:u w:val="single"/>
        </w:rPr>
      </w:pPr>
      <w:r>
        <w:rPr>
          <w:rFonts w:hint="eastAsia" w:ascii="Times New Roman" w:hAnsi="Times New Roman" w:eastAsia="微软雅黑"/>
          <w:sz w:val="32"/>
          <w:szCs w:val="32"/>
        </w:rPr>
        <w:t>学</w:t>
      </w:r>
      <w:r>
        <w:rPr>
          <w:rFonts w:ascii="Times New Roman" w:hAnsi="Times New Roman" w:eastAsia="微软雅黑"/>
          <w:sz w:val="32"/>
          <w:szCs w:val="32"/>
        </w:rPr>
        <w:t xml:space="preserve">    </w:t>
      </w:r>
      <w:r>
        <w:rPr>
          <w:rFonts w:hint="eastAsia" w:ascii="Times New Roman" w:hAnsi="Times New Roman" w:eastAsia="微软雅黑"/>
          <w:sz w:val="32"/>
          <w:szCs w:val="32"/>
        </w:rPr>
        <w:t>校：</w:t>
      </w:r>
      <w:r>
        <w:rPr>
          <w:rFonts w:hint="eastAsia" w:ascii="Times New Roman" w:hAnsi="Times New Roman" w:eastAsia="微软雅黑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徐州市矿大实验学校　　 </w:t>
      </w:r>
      <w:r>
        <w:rPr>
          <w:rFonts w:ascii="宋体" w:hAnsi="宋体"/>
          <w:sz w:val="32"/>
          <w:szCs w:val="32"/>
          <w:u w:val="single"/>
        </w:rPr>
        <w:t xml:space="preserve">        </w:t>
      </w:r>
    </w:p>
    <w:p w14:paraId="4B0B7485">
      <w:pPr>
        <w:spacing w:before="156" w:beforeLines="50"/>
        <w:ind w:firstLine="420"/>
        <w:jc w:val="left"/>
        <w:rPr>
          <w:rFonts w:ascii="宋体" w:hAnsi="宋体"/>
          <w:sz w:val="32"/>
          <w:szCs w:val="32"/>
          <w:u w:val="single"/>
        </w:rPr>
      </w:pPr>
      <w:r>
        <w:rPr>
          <w:rFonts w:hint="eastAsia" w:ascii="Times New Roman" w:hAnsi="Times New Roman" w:eastAsia="微软雅黑"/>
          <w:sz w:val="32"/>
          <w:szCs w:val="32"/>
        </w:rPr>
        <w:t>班</w:t>
      </w:r>
      <w:r>
        <w:rPr>
          <w:rFonts w:ascii="Times New Roman" w:hAnsi="Times New Roman" w:eastAsia="微软雅黑"/>
          <w:sz w:val="32"/>
          <w:szCs w:val="32"/>
        </w:rPr>
        <w:t xml:space="preserve">    </w:t>
      </w:r>
      <w:r>
        <w:rPr>
          <w:rFonts w:hint="eastAsia" w:ascii="Times New Roman" w:hAnsi="Times New Roman" w:eastAsia="微软雅黑"/>
          <w:sz w:val="32"/>
          <w:szCs w:val="32"/>
        </w:rPr>
        <w:t>级：</w:t>
      </w:r>
      <w:r>
        <w:rPr>
          <w:rFonts w:hint="eastAsia" w:ascii="Times New Roman" w:hAnsi="Times New Roman" w:eastAsia="微软雅黑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高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（9）班 </w:t>
      </w:r>
      <w:r>
        <w:rPr>
          <w:rFonts w:ascii="宋体" w:hAnsi="宋体"/>
          <w:sz w:val="32"/>
          <w:szCs w:val="32"/>
          <w:u w:val="single"/>
        </w:rPr>
        <w:t xml:space="preserve">                </w:t>
      </w:r>
    </w:p>
    <w:p w14:paraId="5D8A9245">
      <w:pPr>
        <w:spacing w:before="156" w:beforeLines="50"/>
        <w:ind w:firstLine="420"/>
        <w:jc w:val="left"/>
        <w:rPr>
          <w:rFonts w:ascii="Times New Roman" w:hAnsi="Times New Roman" w:eastAsia="微软雅黑"/>
          <w:sz w:val="32"/>
          <w:szCs w:val="32"/>
          <w:u w:val="single"/>
        </w:rPr>
      </w:pPr>
      <w:r>
        <w:rPr>
          <w:rFonts w:hint="eastAsia" w:ascii="Times New Roman" w:hAnsi="Times New Roman" w:eastAsia="微软雅黑"/>
          <w:sz w:val="32"/>
          <w:szCs w:val="32"/>
        </w:rPr>
        <w:t>小组成员：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张紫玥 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>张镱涵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微软雅黑"/>
          <w:sz w:val="28"/>
          <w:szCs w:val="28"/>
          <w:u w:val="single"/>
        </w:rPr>
        <w:t xml:space="preserve">            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10F58F4C">
      <w:pPr>
        <w:tabs>
          <w:tab w:val="left" w:pos="2452"/>
          <w:tab w:val="center" w:pos="4213"/>
        </w:tabs>
        <w:ind w:firstLine="480" w:firstLineChars="150"/>
        <w:jc w:val="left"/>
        <w:rPr>
          <w:rFonts w:ascii="宋体" w:hAnsi="宋体"/>
          <w:sz w:val="32"/>
          <w:szCs w:val="32"/>
          <w:u w:val="single"/>
        </w:rPr>
      </w:pPr>
      <w:r>
        <w:rPr>
          <w:rFonts w:hint="eastAsia" w:ascii="Times New Roman" w:hAnsi="Times New Roman" w:eastAsia="微软雅黑"/>
          <w:sz w:val="32"/>
          <w:szCs w:val="32"/>
        </w:rPr>
        <w:t>指导教师：</w:t>
      </w:r>
      <w:r>
        <w:rPr>
          <w:rFonts w:hint="eastAsia" w:ascii="Times New Roman" w:hAnsi="Times New Roman" w:eastAsia="微软雅黑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微软雅黑"/>
          <w:sz w:val="32"/>
          <w:szCs w:val="32"/>
          <w:u w:val="single"/>
        </w:rPr>
        <w:t xml:space="preserve">          </w:t>
      </w:r>
      <w:r>
        <w:rPr>
          <w:rFonts w:hint="eastAsia" w:ascii="Times New Roman" w:hAnsi="Times New Roman" w:eastAsia="微软雅黑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微软雅黑"/>
          <w:sz w:val="32"/>
          <w:szCs w:val="32"/>
          <w:u w:val="single"/>
          <w:lang w:val="en-US" w:eastAsia="zh-CN"/>
        </w:rPr>
        <w:t>杨双</w:t>
      </w:r>
      <w:r>
        <w:rPr>
          <w:rFonts w:ascii="宋体" w:hAnsi="宋体"/>
          <w:sz w:val="32"/>
          <w:szCs w:val="32"/>
          <w:u w:val="single"/>
        </w:rPr>
        <w:t xml:space="preserve">                  </w:t>
      </w:r>
    </w:p>
    <w:p w14:paraId="40393A4D">
      <w:pPr>
        <w:tabs>
          <w:tab w:val="left" w:pos="2452"/>
          <w:tab w:val="center" w:pos="4213"/>
        </w:tabs>
        <w:ind w:firstLine="480" w:firstLineChars="150"/>
        <w:jc w:val="left"/>
        <w:rPr>
          <w:rFonts w:ascii="宋体" w:hAnsi="宋体"/>
          <w:sz w:val="32"/>
          <w:szCs w:val="32"/>
          <w:u w:val="single"/>
        </w:rPr>
      </w:pPr>
    </w:p>
    <w:p w14:paraId="22E60FE5">
      <w:pPr>
        <w:jc w:val="center"/>
        <w:rPr>
          <w:rFonts w:hint="eastAsia"/>
          <w:b/>
          <w:bCs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3B1290C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一城烟火，两载春秋——苏轼的“第二故乡”</w:t>
      </w:r>
    </w:p>
    <w:p w14:paraId="3A6AF7C6">
      <w:pPr>
        <w:rPr>
          <w:rFonts w:hint="default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一、引言：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被忽略的关键期</w:t>
      </w:r>
    </w:p>
    <w:p w14:paraId="0E1F03E4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在中国文学史研究版图中，苏轼的杭州、黄州时期备受瞩目：前者以其诗酒风流塑造了“西湖太守”的浪漫形象，后者以其苦难升华成就了“东坡居士”的哲学高度。然而，夹在二者之间的徐州两年，却常常被简化为一个过渡性段落。</w:t>
      </w:r>
    </w:p>
    <w:p w14:paraId="3F97DF1E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这种忽视遮蔽了一个重要事实：正是在徐州，苏轼完成了从“文人型官员”向“实践型政治家”的转变；正是在徐州，他在抗洪的生死考验中与百姓缔结了真正的深情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由此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实现了儒家入世精神与道家超脱情怀的初步整合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。</w:t>
      </w:r>
    </w:p>
    <w:p w14:paraId="43AECBC2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本报告以“精神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塑造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”为核心视角，通过考察苏轼在徐州的政绩、交游与生活，探究这片土地如何成为他“此心安处”的精神故乡。</w:t>
      </w:r>
    </w:p>
    <w:p w14:paraId="6AF203B7">
      <w:pPr>
        <w:ind w:firstLine="643" w:firstLineChars="200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二、徐州：苏轼的精神“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过渡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地带”</w:t>
      </w:r>
    </w:p>
    <w:p w14:paraId="41B6C425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此前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杭州通判时期，苏轼尚处政治失意的初期调适阶段，诗文多抒发个人感怀；密州时期，《江城子·密州出猎》标志其词风转变，但政绩平平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的成长阶段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。</w:t>
      </w:r>
    </w:p>
    <w:p w14:paraId="78545F0C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此后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湖州任上三月即遭“乌台诗案”，险死还生；黄州贬谪时期，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于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困顿中完成哲学升华，写下前后《赤壁赋》《念奴娇·赤壁怀古》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等千古名篇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。</w:t>
      </w:r>
    </w:p>
    <w:p w14:paraId="1AFE7A7F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而徐州，恰是连接这两个阶段的关键枢纽——既有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勇敢的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实践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又有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深刻的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反思；既有入世的担当，又有出世的交游；既是政治生涯的延续，又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得到了精神上的升华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。</w:t>
      </w:r>
    </w:p>
    <w:p w14:paraId="7D7C5211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-2292985</wp:posOffset>
                </wp:positionH>
                <wp:positionV relativeFrom="paragraph">
                  <wp:posOffset>2222500</wp:posOffset>
                </wp:positionV>
                <wp:extent cx="1828800" cy="262255"/>
                <wp:effectExtent l="4445" t="4445" r="10795" b="762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64615" y="3533140"/>
                          <a:ext cx="1828800" cy="262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A23F7F"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苏轼行迹图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0.55pt;margin-top:175pt;height:20.65pt;width:144pt;z-index:251666432;mso-width-relative:page;mso-height-relative:page;" fillcolor="#FFFFFF [3201]" filled="t" stroked="t" coordsize="21600,21600" o:gfxdata="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DbLfarXAAAADAEAAA8AAAAAAAAAAQAgAAAAIgAAAGRycy9kb3ducmV2LnhtbFBLAQIUABQA&#10;AAAIAIdO4kBIiBTzYwIAAMUEAAAOAAAAAAAAAAEAIAAAACY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9A23F7F"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苏轼行迹图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91440</wp:posOffset>
            </wp:positionV>
            <wp:extent cx="2520315" cy="2105025"/>
            <wp:effectExtent l="0" t="0" r="9525" b="13335"/>
            <wp:wrapSquare wrapText="bothSides"/>
            <wp:docPr id="1" name="图片 1" descr="10a7f2c079a0be8116e2952c1329d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a7f2c079a0be8116e2952c1329d6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苏轼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离任后，他在《灵壁张氏园亭记》中写道：“俯仰山林之下，于以养生治性，行义求志，无适而不可。”这番话，既可视为对徐州生活的总结，也可视为其此后人生的精神宣言。</w:t>
      </w:r>
    </w:p>
    <w:p w14:paraId="2C69D135">
      <w:pPr>
        <w:ind w:firstLine="320" w:firstLineChars="100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三、入世之维：抗洪中的身份重塑</w:t>
      </w:r>
    </w:p>
    <w:p w14:paraId="35CCE21B">
      <w:pPr>
        <w:ind w:firstLine="320" w:firstLineChars="1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危机时刻的决断</w:t>
      </w:r>
    </w:p>
    <w:p w14:paraId="40E316C6">
      <w:pPr>
        <w:ind w:firstLine="640" w:firstLineChars="200"/>
        <w:rPr>
          <w:rFonts w:hint="default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熙宁十年七月，黄河决口，八月洪水汇至徐州城下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城墙即将崩塌，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城内秩序混乱，所有人争先逃生。</w:t>
      </w:r>
    </w:p>
    <w:p w14:paraId="6B03B787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苏轼的应对，展现了三个层面的精神品质：</w:t>
      </w:r>
    </w:p>
    <w:p w14:paraId="75CDEB7B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决断力：“吾在是，水决不能败城！”这不仅是安抚人心的口号，更是破釜沉舟的承诺。他“履屦杖策，亲入武卫营，呼其卒长”，以人格担保请求禁军支援——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具有临危不乱的担当与孤注一掷的勇气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。</w:t>
      </w:r>
    </w:p>
    <w:p w14:paraId="12822D88">
      <w:pPr>
        <w:ind w:firstLine="640" w:firstLineChars="200"/>
        <w:rPr>
          <w:rFonts w:hint="default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担当力：此后七十余日，苏轼“庐于城上，过家不入”。他与士卒一同运土，与百姓一同抢险。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“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三过家门而不入”，心系民生，展现其担当力。</w:t>
      </w:r>
    </w:p>
    <w:p w14:paraId="2D3AF5AD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感召力：“官吏分堤，父老授役，畚锸如云，皆以子来。”在苏轼的感召下，全城团结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一心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。这种感召力，源于他身先士卒的行动，而非命令。</w:t>
      </w:r>
    </w:p>
    <w:p w14:paraId="601D4414"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</w:p>
    <w:p w14:paraId="45D66CAC"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 xml:space="preserve">  2.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从“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知州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”到“亲人”</w:t>
      </w:r>
    </w:p>
    <w:p w14:paraId="5BBF7E61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抗洪的意义，远不止于保住一座城。</w:t>
      </w:r>
    </w:p>
    <w:p w14:paraId="7E81478C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在此之前，苏轼是朝廷派来的官员，与百姓之间存在身份隔阂。在此之后，他是与大家共过生死的人。百姓亲眼看见，这位知州和他们一样浑身泥泞，和他们一样日夜不眠，为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他们的生活连连叹息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。</w:t>
      </w:r>
    </w:p>
    <w:p w14:paraId="4636A940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这种身份转变，在苏轼的诗文中留下了清晰的痕迹。密州时期，他写“老夫聊发少年狂”，是孤独的自我抒发；徐州时期，他写“老幼扶携收麦社，道逢醉叟卧黄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1250315</wp:posOffset>
            </wp:positionV>
            <wp:extent cx="1855470" cy="2381250"/>
            <wp:effectExtent l="0" t="0" r="3810" b="11430"/>
            <wp:wrapSquare wrapText="bothSides"/>
            <wp:docPr id="4" name="图片 4" descr="8c2b1adf2b4ebe3eb50b5e35183ba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c2b1adf2b4ebe3eb50b5e35183bae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5547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昏”，是融入群体的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安然。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从“我”到“我们”，一字之差，是身份认同的根本转变。</w:t>
      </w:r>
    </w:p>
    <w:p w14:paraId="01C8249D"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四、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主视角下的生活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：日常中的情感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共同体</w:t>
      </w:r>
    </w:p>
    <w:p w14:paraId="4E6FD46E"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石炭：从物质到情感的媒介</w:t>
      </w:r>
    </w:p>
    <w:p w14:paraId="45B008AF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-1988185</wp:posOffset>
                </wp:positionH>
                <wp:positionV relativeFrom="paragraph">
                  <wp:posOffset>513715</wp:posOffset>
                </wp:positionV>
                <wp:extent cx="1851660" cy="251460"/>
                <wp:effectExtent l="4445" t="4445" r="18415" b="1841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28395" y="7371715"/>
                          <a:ext cx="1851660" cy="251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93BC91"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黄楼内部展览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6.55pt;margin-top:40.45pt;height:19.8pt;width:145.8pt;z-index:251667456;mso-width-relative:page;mso-height-relative:page;" fillcolor="#FFFFFF [3201]" filled="t" stroked="t" coordsize="21600,21600" o:gfxdata="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PofkuzXAAAACwEAAA8AAAAAAAAAAQAgAAAAIgAAAGRycy9kb3ducmV2LnhtbFBLAQIUABQA&#10;AAAIAIdO4kD8Fh9iYwIAAMUEAAAOAAAAAAAAAAEAIAAAACY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B93BC91"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黄楼内部展览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元丰元年十二月，苏轼派人寻得石炭，解决了徐州百姓的燃料危机。他在《石炭》诗中写道：“根苗一发浩无际，万人鼓舞千人看。”</w:t>
      </w:r>
    </w:p>
    <w:p w14:paraId="208C5921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“万人鼓舞千人看”这句——苏轼关注的不是自己的政绩，而是百姓的喜悦。他发现石炭后的第一反应，是想象百姓欢欣鼓舞的场景。这种情感指向，印证了他与民众之间已经建立的深刻联结。</w:t>
      </w:r>
    </w:p>
    <w:p w14:paraId="2F1722A8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石炭的意义，由此超越了物质层面，成为情感共同体的媒介。百姓感受到的，不仅是冬天的温暖，更是被关怀的温度。</w:t>
      </w:r>
    </w:p>
    <w:p w14:paraId="28513D7E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2.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谢雨：仪式的共享与情感的确认</w:t>
      </w:r>
    </w:p>
    <w:p w14:paraId="6CD43F91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元丰元年春旱，苏轼率众祈雨，雨后谢雨。《浣溪沙》五首记录了整个过程：</w:t>
      </w:r>
    </w:p>
    <w:p w14:paraId="59C8BDB2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-365760</wp:posOffset>
            </wp:positionH>
            <wp:positionV relativeFrom="paragraph">
              <wp:posOffset>1181735</wp:posOffset>
            </wp:positionV>
            <wp:extent cx="3078480" cy="2238375"/>
            <wp:effectExtent l="0" t="0" r="0" b="1905"/>
            <wp:wrapSquare wrapText="bothSides"/>
            <wp:docPr id="5" name="图片 5" descr="42682b9a811cbf0b16c12f874c49f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2682b9a811cbf0b16c12f874c49f6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7848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“旋抹红妆看使君，三三五五棘篱门，相排踏破蒨罗裙。”少女们争相观看知州，踩破了裙子也不在意——这是好奇与亲近。</w:t>
      </w:r>
    </w:p>
    <w:p w14:paraId="0808207C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“老幼扶携收麦社，乌鸢翔舞赛神村。道逢醉叟卧黄昏。”老人喝醉了躺在路边，无人责怪，只有会心的笑意——这是信任与松弛。</w:t>
      </w:r>
    </w:p>
    <w:p w14:paraId="3935E62F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-3176905</wp:posOffset>
                </wp:positionH>
                <wp:positionV relativeFrom="paragraph">
                  <wp:posOffset>130810</wp:posOffset>
                </wp:positionV>
                <wp:extent cx="3040380" cy="293370"/>
                <wp:effectExtent l="4445" t="4445" r="18415" b="698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21715" y="7971790"/>
                          <a:ext cx="3040380" cy="293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4F259E"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“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民为邦本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”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牌匾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50.15pt;margin-top:10.3pt;height:23.1pt;width:239.4pt;z-index:251668480;mso-width-relative:page;mso-height-relative:page;" fillcolor="#FFFFFF [3201]" filled="t" stroked="t" coordsize="21600,21600" o:gfxdata="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PwFLTDXAAAACgEAAA8AAAAAAAAAAQAgAAAAIgAAAGRycy9kb3ducmV2LnhtbFBLAQIU&#10;ABQAAAAIAIdO4kBfUMiCZgIAAMUEAAAOAAAAAAAAAAEAIAAAACY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F4F259E"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“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民为邦本</w:t>
                      </w:r>
                      <w:r>
                        <w:rPr>
                          <w:rFonts w:hint="eastAsia"/>
                          <w:lang w:eastAsia="zh-CN"/>
                        </w:rPr>
                        <w:t>”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牌匾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在这里，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苏轼不再是高高在上的“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知州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”，而是和大家一起谢雨、一起饮酒、一起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同甘共苦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的“自家人”。</w:t>
      </w:r>
    </w:p>
    <w:p w14:paraId="6B868452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3.缺席的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美食叙事</w:t>
      </w:r>
    </w:p>
    <w:p w14:paraId="537B07BC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苏轼在徐州并未留下如“东坡肉”之类的名菜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但透露着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徐州时期，苏轼与民众的联结主要建立在“共患难”而非“共享乐”的基础上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这一事实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。抗洪、寻煤、祈雨，这些事关生存的实践，才是情感共同体的根基。</w:t>
      </w:r>
    </w:p>
    <w:p w14:paraId="60FB3B09"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五、超脱之维：交游中的精神平衡</w:t>
      </w:r>
    </w:p>
    <w:p w14:paraId="46AD8CCD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放鹤亭：隐逸的向往与反思</w:t>
      </w:r>
    </w:p>
    <w:p w14:paraId="371E2509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-96520</wp:posOffset>
            </wp:positionH>
            <wp:positionV relativeFrom="paragraph">
              <wp:posOffset>434975</wp:posOffset>
            </wp:positionV>
            <wp:extent cx="1638300" cy="2185035"/>
            <wp:effectExtent l="0" t="0" r="7620" b="9525"/>
            <wp:wrapSquare wrapText="bothSides"/>
            <wp:docPr id="6" name="图片 6" descr="fdafe21ab89826f744e017dd7560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dafe21ab89826f744e017dd756026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2185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云龙山上，隐士张天骥养鹤放鹤，苏轼常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去拜访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，并作《放鹤亭记》。</w:t>
      </w:r>
    </w:p>
    <w:p w14:paraId="08DA02BA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-1716405</wp:posOffset>
                </wp:positionH>
                <wp:positionV relativeFrom="paragraph">
                  <wp:posOffset>1660525</wp:posOffset>
                </wp:positionV>
                <wp:extent cx="1531620" cy="255270"/>
                <wp:effectExtent l="4445" t="4445" r="18415" b="1460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90295" y="4670425"/>
                          <a:ext cx="1531620" cy="255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28A5A7"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放鹤亭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5.15pt;margin-top:130.75pt;height:20.1pt;width:120.6pt;z-index:251669504;mso-width-relative:page;mso-height-relative:page;" fillcolor="#FFFFFF [3201]" filled="t" stroked="t" coordsize="21600,21600" o:gfxdata="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jJn6Z9gAAAAMAQAADwAAAAAAAAABACAAAAAiAAAAZHJzL2Rvd25yZXYueG1sUEsB&#10;AhQAFAAAAAgAh07iQCZSl0lnAgAAxQQAAA4AAAAAAAAAAQAgAAAAJwEAAGRycy9lMm9Eb2MueG1s&#10;UEsFBgAAAAAGAAYAWQEAAAAG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228A5A7"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放鹤亭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这篇文章的独特之处，在于其复杂的议论结构。前半部分极写山水之乐：“春夏之交，草木际天；秋冬雪月，千里一色。”后半部分突然转折，将“南面之君”与“隐居之乐”对举：</w:t>
      </w:r>
    </w:p>
    <w:p w14:paraId="00749563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“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南面之君，虽清远闲放如鹤者，犹不得好，好之则亡其国；而山林遁世之士，虽荒惑败乱如酒者，犹不能为害，而况于鹤乎？”</w:t>
      </w:r>
    </w:p>
    <w:p w14:paraId="618028F2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难道，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苏轼真的认为“隐逸高于一切”吗？此时的他，刚刚率领全城百姓战胜洪水，正是入世精神最为昂扬的时刻。与其说他在赞美隐逸，不如说他在反思——反思入世与出世的张力，思考如何在二者之间找到平衡。</w:t>
      </w:r>
    </w:p>
    <w:p w14:paraId="29187E56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而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张山人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作为旁观者，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为苏轼提供了这种反思的参照。与隐士的交游，不是对现实的逃避，而是对自我的审视。这正是苏轼精神成熟的表现：既能全身心投入实践，又能保持反思的距离。</w:t>
      </w:r>
    </w:p>
    <w:p w14:paraId="357F1AF5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放鹤亭不仅是建筑，更是苏轼精神世界的外化。亭以“放鹤”为名，寄托对自由的向往；《放鹤亭记》以议论为体，展现对入世与出世的思考。今天，放鹤亭依然屹立在云龙山上，游人至此，仍能感受到那份穿越千年的超然气息。</w:t>
      </w:r>
    </w:p>
    <w:p w14:paraId="197DA054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</w:p>
    <w:p w14:paraId="5FCC36C6">
      <w:pPr>
        <w:numPr>
          <w:ilvl w:val="0"/>
          <w:numId w:val="1"/>
        </w:num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黄楼：入世功业的升华与超越</w:t>
      </w:r>
    </w:p>
    <w:p w14:paraId="209B076F">
      <w:pPr>
        <w:numPr>
          <w:ilvl w:val="0"/>
          <w:numId w:val="0"/>
        </w:num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黄楼落成于抗洪胜利之后，取土克水之意，是入世功业的象征。然而，苏轼并未将其局限于“政绩纪念碑”的层面。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807720</wp:posOffset>
            </wp:positionV>
            <wp:extent cx="2357755" cy="2941320"/>
            <wp:effectExtent l="0" t="0" r="4445" b="0"/>
            <wp:wrapSquare wrapText="bothSides"/>
            <wp:docPr id="7" name="图片 7" descr="c2b634075e70423c4bbf17f9c0eb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2b634075e70423c4bbf17f9c0eb82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57755" cy="2941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7EEA5F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-2232025</wp:posOffset>
                </wp:positionH>
                <wp:positionV relativeFrom="paragraph">
                  <wp:posOffset>2847340</wp:posOffset>
                </wp:positionV>
                <wp:extent cx="1889760" cy="255270"/>
                <wp:effectExtent l="4445" t="4445" r="10795" b="1460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87475" y="6581140"/>
                          <a:ext cx="1889760" cy="255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1DE30F"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黄楼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5.75pt;margin-top:224.2pt;height:20.1pt;width:148.8pt;z-index:251670528;mso-width-relative:page;mso-height-relative:page;" fillcolor="#FFFFFF [3201]" filled="t" stroked="t" coordsize="21600,21600" o:gfxdata="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gMSXs2QAAAAwBAAAPAAAAAAAAAAEAIAAAACIAAABkcnMvZG93bnJldi54bWxQSwEC&#10;FAAUAAAACACHTuJA9wjMZGUCAADFBAAADgAAAAAAAAABACAAAAAoAQAAZHJzL2Uyb0RvYy54bWxQ&#10;SwUGAAAAAAYABgBZAQAA/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41DE30F"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黄楼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他邀请苏辙、秦观等人为黄楼题咏，将其升华为文学地标。苏辙《黄楼赋》写抗洪之艰，秦观《黄楼赋》写登临之乐，苏轼《九日黄楼作》写今昔之叹——同一座楼，承载了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深厚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意蕴：既是集体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喜悦的见证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，又是个人情感的寄托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。</w:t>
      </w:r>
    </w:p>
    <w:p w14:paraId="1265D379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《九日黄楼作》中的对比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写到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：“去年重阳不可说，南城夜半千沤发”与“岂知还复有今年，把盏对花容一呷”。从生死边缘到把盏赏花，中间隔着七十余日的生死考验。这种对时间流逝的敏感，对生命起伏的体悟，正是苏轼超越单纯“实干家”的精神维度。</w:t>
      </w:r>
    </w:p>
    <w:p w14:paraId="6B58EE8A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黄楼是苏轼徐州政绩的集中体现，见证了那场惊心动魄的抗洪斗争。但更重要的是，它被苏轼及其友人共同升华为文学地标，从“水利工程”变为“文化符号”。黄楼历经千年，屡毁屡建，但名字从未改变——徐州百姓用这种方式，铭记着那位与他们共过生死的知州，也铭记着那份由苦难升华而来的文化记忆。</w:t>
      </w:r>
    </w:p>
    <w:p w14:paraId="15897375"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</w:p>
    <w:p w14:paraId="43B58D3F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3.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逍遥堂与快哉亭：亲情与友谊的物化</w:t>
      </w:r>
    </w:p>
    <w:p w14:paraId="13602885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374015</wp:posOffset>
            </wp:positionV>
            <wp:extent cx="2025015" cy="2883535"/>
            <wp:effectExtent l="0" t="0" r="1905" b="12065"/>
            <wp:wrapSquare wrapText="bothSides"/>
            <wp:docPr id="8" name="图片 8" descr="8204a39d7fb7da9aed481c31de177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204a39d7fb7da9aed481c31de1776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25015" cy="2883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为弟弟苏辙修建的“逍遥堂”，为友人修建的“快哉亭”，是苏轼情感世界的物化载体。</w:t>
      </w:r>
    </w:p>
    <w:p w14:paraId="253A1C7B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-1990725</wp:posOffset>
                </wp:positionH>
                <wp:positionV relativeFrom="paragraph">
                  <wp:posOffset>2068195</wp:posOffset>
                </wp:positionV>
                <wp:extent cx="1729740" cy="293370"/>
                <wp:effectExtent l="4445" t="4445" r="18415" b="698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03655" y="6586855"/>
                          <a:ext cx="1729740" cy="293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9514A7"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快哉亭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6.75pt;margin-top:162.85pt;height:23.1pt;width:136.2pt;z-index:251671552;mso-width-relative:page;mso-height-relative:page;" fillcolor="#FFFFFF [3201]" filled="t" stroked="t" coordsize="21600,21600" o:gfxdata="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BnufRDZAAAADAEAAA8AAAAAAAAAAQAgAAAAIgAAAGRycy9kb3ducmV2LnhtbFBLAQIU&#10;ABQAAAAIAIdO4kDSBLxqZAIAAMUEAAAOAAAAAAAAAAEAIAAAACg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79514A7"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快哉亭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苏辙《逍遥堂会宿二首》写道：“逍遥堂后千寻木，长送中宵风雨声。误喜对床寻旧约，不知漂泊在彭城。”“对床夜雨”的约定在徐州实现，这份亲情因有了具体的建筑而更加可感。</w:t>
      </w:r>
    </w:p>
    <w:p w14:paraId="1275B895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“快哉亭”之名取自宋玉《风赋》“快哉此风”，既有与友人共享山水之乐的当下快意，也暗含对“快哉”境界的永恒向往——无论身处何地，只要心怀旷达，处处皆可“快哉”。</w:t>
      </w:r>
    </w:p>
    <w:p w14:paraId="2B204313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这三处交游场所，共同构成了苏轼的精神平衡系统：放鹤亭安放超脱，黄楼铭记功业，逍遥堂与快哉亭承载情感。三者相互支撑，使他在入世与出世之间找到了动态的平衡。</w:t>
      </w:r>
    </w:p>
    <w:p w14:paraId="0A25F701"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</w:p>
    <w:p w14:paraId="3C986873"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六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、离别与回响：情感共同体的延续</w:t>
      </w:r>
    </w:p>
    <w:p w14:paraId="503A1A31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“回首彭城，清泗与淮通”</w:t>
      </w:r>
    </w:p>
    <w:p w14:paraId="431FD19E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元丰二年三月，苏轼改知湖州。离任之际，他写下《江城子·别徐州》：</w:t>
      </w:r>
    </w:p>
    <w:p w14:paraId="427A2257"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&gt; “天涯流落思无穷。既相逢，却匆匆。携手佳人，和泪折残红。为问东风余几许，春纵在，与谁同？</w:t>
      </w:r>
    </w:p>
    <w:p w14:paraId="33AA4360"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&gt; 隋堤三月水溶溶。背归鸿，去吴中。回首彭城，清泗与淮通。欲寄相思千点泪，流不到，楚江东。”</w:t>
      </w:r>
    </w:p>
    <w:p w14:paraId="192F92D1"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</w:p>
    <w:p w14:paraId="2F8AE444"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“回首彭城，清泗与淮通”——人已离去，心却留在了徐州。泗水连接着徐州与淮河，却载不动他的相思之泪。“欲寄相思千点泪，流不到，楚江东”——明知泪水流不到，却仍“欲寄”，方见深情。</w:t>
      </w:r>
    </w:p>
    <w:p w14:paraId="191C56D2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此后，无论是在湖州、黄州，还是远谪惠州、儋州，苏轼都曾多次提及徐州。徐州百姓的淳朴、徐州山水的可爱、徐州岁月的难忘，成为他一生珍藏的记忆。</w:t>
      </w:r>
    </w:p>
    <w:p w14:paraId="259EDE3D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30480</wp:posOffset>
            </wp:positionV>
            <wp:extent cx="1434465" cy="1913890"/>
            <wp:effectExtent l="0" t="0" r="13335" b="6350"/>
            <wp:wrapSquare wrapText="bothSides"/>
            <wp:docPr id="9" name="图片 9" descr="a4d991413515728e1ea4578f8f934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a4d991413515728e1ea4578f8f9345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4465" cy="1913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2.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徐州的千年回响</w:t>
      </w:r>
    </w:p>
    <w:p w14:paraId="15EF976E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苏轼没有忘记徐州，徐州人民也没有忘记苏轼。</w:t>
      </w:r>
    </w:p>
    <w:p w14:paraId="25E1C360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-1564005</wp:posOffset>
                </wp:positionH>
                <wp:positionV relativeFrom="paragraph">
                  <wp:posOffset>607695</wp:posOffset>
                </wp:positionV>
                <wp:extent cx="1447800" cy="247650"/>
                <wp:effectExtent l="4445" t="4445" r="10795" b="698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51255" y="9141460"/>
                          <a:ext cx="14478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A45EEE"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东坡石床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3.15pt;margin-top:47.85pt;height:19.5pt;width:114pt;z-index:251672576;mso-width-relative:page;mso-height-relative:page;" fillcolor="#FFFFFF [3201]" filled="t" stroked="t" coordsize="21600,21600" o:gfxdata="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J95zY2AAAAAsBAAAPAAAAAAAAAAEAIAAAACIAAABkcnMvZG93bnJldi54bWxQSwECFAAU&#10;AAAACACHTuJASih5H2MCAADFBAAADgAAAAAAAAABACAAAAAn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FA45EEE"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东坡石床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抗洪时所筑的堤坝，被百姓称为“苏堤”，地名沿用至今。黄楼历经沧桑，屡毁屡建，始终屹立在故黄河畔。云龙山放鹤亭，成为历代文人墨客凭吊苏轼的必到之处。</w:t>
      </w:r>
    </w:p>
    <w:p w14:paraId="4F1AB6E6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明代建苏公祠，春秋祭祀；清代康熙帝亲题“黄楼”匾额；今人有“东坡美食节”，以纪念这位热爱生活的老知州。九百余年过去，苏轼与徐州的故事，依然在这片土地上流传。</w:t>
      </w:r>
    </w:p>
    <w:p w14:paraId="795841B8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这种跨越时空的回响，印证了情感共同体的持久生命力。苏轼与徐州百姓之间建立的情感联结，不仅存在于当时当地，更通过建筑、地名、传说、仪式等载体，延续至今，成为地方文化认同的重要组成部分。</w:t>
      </w:r>
    </w:p>
    <w:p w14:paraId="79CD78DB"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</w:p>
    <w:p w14:paraId="045D3A53"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七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、结论：徐州与苏轼的精神完形</w:t>
      </w:r>
    </w:p>
    <w:p w14:paraId="59E381F1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纵观苏轼在徐州的两年，我们可以清晰地看到一条精神成长的轨迹。</w:t>
      </w:r>
    </w:p>
    <w:p w14:paraId="671F46F1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入世层面：抗洪的生死考验，使他完成了从“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知州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”到“亲人”的身份转变。百姓不再将他视为朝廷派来的“使君”，而是与大家共过生死的“自家人”。这种身份认同的转变，是苏轼精神完形的基础。</w:t>
      </w:r>
    </w:p>
    <w:p w14:paraId="7A052FA2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生活层面：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抗洪、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寻石炭、谢雨、与民同乐，在日常实践中构建了情感共同体。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抗洪为偶然机遇、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石炭成为情感媒介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谢雨仪式确认了官民之间的信任与亲近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将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日常的烟火气融入“故人情”之中。这种情感共同体的建立，使苏轼的精神世界获得了坚实的根基。</w:t>
      </w:r>
    </w:p>
    <w:p w14:paraId="57C42E27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超脱层面：与张山人的交游、为黄楼赋诗、为弟弟和友人修建亭台，在反思中实现了精神的平衡。放鹤亭安放超脱，黄楼铭记功业，逍遥堂与快哉亭承载情感——三者相互支撑，使他能够在入世与出世之间自如切换，而不至于偏执一端。</w:t>
      </w:r>
    </w:p>
    <w:p w14:paraId="7D25287C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这三个层面，共同构成了苏轼在徐州的精神完形。所谓“精神完形”，是指人格各侧面实现有机整合的状态：入世而不沉溺，超脱而不逃避，担当而不执着，旷达而不虚无。正是在徐州，苏轼初步实现了这种整合；也正是在徐州，那个后来在黄州写出“一蓑烟雨任平生”的苏东坡，完成了精神的最后淬炼。</w:t>
      </w:r>
    </w:p>
    <w:p w14:paraId="2D4F8248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徐州之于苏轼的意义，由此得以彰显：它不仅是政绩的丰碑，不仅是文学的沃土，更是精神的故乡。正如苏轼自己所说：“此心安处是吾乡。”徐州，就是那个让他“心安”的地方。</w:t>
      </w:r>
    </w:p>
    <w:p w14:paraId="39D6E081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九百余年过去，当我们走进徐州，登上云龙山，站在黄楼前，仍能感受到那份穿越千年的温度。那不是冰冷的建筑，而是有温度的记忆——记忆着一位老知州与一方百姓的深情厚谊，记忆着一颗伟大灵魂在徐州完成的精神完形。</w:t>
      </w:r>
    </w:p>
    <w:p w14:paraId="142C0696">
      <w:pPr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这份记忆，如泗水长流，如彭城永固。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B685FC"/>
    <w:multiLevelType w:val="singleLevel"/>
    <w:tmpl w:val="5DB685F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CA03CB"/>
    <w:rsid w:val="144B2FD3"/>
    <w:rsid w:val="1B8D670F"/>
    <w:rsid w:val="37B44A76"/>
    <w:rsid w:val="57742808"/>
    <w:rsid w:val="6F48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4191</Words>
  <Characters>4200</Characters>
  <Lines>0</Lines>
  <Paragraphs>0</Paragraphs>
  <TotalTime>0</TotalTime>
  <ScaleCrop>false</ScaleCrop>
  <LinksUpToDate>false</LinksUpToDate>
  <CharactersWithSpaces>4352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2026-02-18T11:54:00Z</dcterms:created>
  <dc:creator>earlybird</dc:creator>
  <cp:lastModifiedBy>糖炒栗紫（zzy）</cp:lastModifiedBy>
  <dcterms:modified xsi:type="dcterms:W3CDTF">2026-03-09T14:39:10Z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eyJoZGlkIjoiNjllMTQ1N2NiYWJhNmE3MmJmNjczYjE3MmE0Mzc5ZDEiLCJ1c2VySWQiOiIxMzI5MDk1MzI4In0=</vt:lpwstr>
  </property>
  <property fmtid="{D5CDD505-2E9C-101B-9397-08002B2CF9AE}" pid="4" name="ICV">
    <vt:lpwstr>A964DB65BD15480186A220CCD99CB816_13</vt:lpwstr>
  </property>
</Properties>
</file>